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napToGrid w:val="0"/>
        <w:rPr>
          <w:rFonts w:hint="eastAsia" w:ascii="仿宋_GB2312" w:eastAsia="仿宋_GB2312"/>
          <w:snapToGrid w:val="0"/>
          <w:kern w:val="0"/>
          <w:sz w:val="10"/>
          <w:szCs w:val="10"/>
        </w:rPr>
      </w:pPr>
    </w:p>
    <w:p>
      <w:pPr>
        <w:spacing w:line="640" w:lineRule="exact"/>
        <w:jc w:val="center"/>
        <w:outlineLvl w:val="0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致公党市委参政议政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课题选题指南</w:t>
      </w:r>
      <w:bookmarkEnd w:id="0"/>
    </w:p>
    <w:p>
      <w:pPr>
        <w:spacing w:line="640" w:lineRule="exact"/>
        <w:jc w:val="center"/>
        <w:outlineLvl w:val="0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（202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30"/>
          <w:szCs w:val="30"/>
        </w:rPr>
        <w:t>年度）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上海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经济持续回升向好，加强政策措施协同联动的研究和对策建议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（下列为建议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方向，包括但不限于此。以下各部分均类同，不再赘述）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深化“五个中心”建设；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推进服务消费扩容升级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深化国际消费中心城市建设；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内外贸一体化试点过程中的政策和制度体系建设；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推动文旅商体展融合发展；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持续打造一流营商环境，优化惠企政策。</w:t>
      </w:r>
    </w:p>
    <w:p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关于上海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落实国家重大战略任务，建设更高水平开放型经济新体制的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研究和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对策建议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1、数字人民币试点应用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2、人民币离岸交易、跨境贸易结算和海外融资服务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3、实施跨境服务贸易负面清单，打造全球分拨中心等功能平台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上海航运中心及</w:t>
      </w:r>
      <w:r>
        <w:rPr>
          <w:rFonts w:hint="eastAsia" w:ascii="仿宋_GB2312" w:hAnsi="仿宋_GB2312" w:eastAsia="仿宋_GB2312" w:cs="仿宋_GB2312"/>
          <w:sz w:val="32"/>
          <w:szCs w:val="32"/>
        </w:rPr>
        <w:t>长江经济带多式联运中心建设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5、国际数据港先导区、国际数据经济产业园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，完善数据跨境流动统一管理机制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6、落实长三角一体化高质量发展实施方案，强化跨区域协同发展；</w:t>
      </w:r>
    </w:p>
    <w:p>
      <w:pPr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7、虹桥国际中央商务区集聚高能级贸易主体和贸易平台建设。</w:t>
      </w:r>
    </w:p>
    <w:p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关于上海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培育发展新质生产力，加快建设现代化产业体系的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研究和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对策建议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增强科技创新能力，强化战略前沿领域研究布局；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优化集成电路产业空间布局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全链条加速生物医药产业创新发展；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人工智能产业创新高地建设；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5、工业互联网规模化应用；</w:t>
      </w:r>
    </w:p>
    <w:p>
      <w:pPr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6、助力培育发展新质生产力的其他相关研究。</w:t>
      </w:r>
    </w:p>
    <w:p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关于上海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转变超大城市发展方式，优化城市空间结构和功能布局的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研究和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对策建议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全面推进五个新城建设，细化落实新城高质量发展的政策举措；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2、持续推动南北转型，强化重点转型区域功能升级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可持续的城市更新模式建设；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深化城市数字化转型，数字新型基础设施建设和管理；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5、工业园区规模化集约化发展建设；</w:t>
      </w:r>
    </w:p>
    <w:p>
      <w:pPr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6、实施乡村振兴战略，推动城乡融合发展。</w:t>
      </w:r>
    </w:p>
    <w:p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建设美丽上海，坚定不移推进生态优先、节约集约、绿色低碳发展的研究和对策建议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海洋生态保护修复；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绿色低碳技术服务行业发展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固体废物综合治理；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建筑垃圾消纳处置和资源化利用；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推进碳达峰碳中和，深化上海碳市场建设；</w:t>
      </w:r>
    </w:p>
    <w:p>
      <w:pPr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6、助力深化污染防治攻坚的相关研究。</w:t>
      </w:r>
    </w:p>
    <w:p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关于上海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推进城市治理现代化，以高水平安全保障高质量发展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的研究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和对策建议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特大城市治理共同体建设；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基层减负长效机制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社区工作者队伍建设；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完善应急管理体制和应急指挥机制；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5、公共资源“一网交易”改革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深化社会治理创新，基层网格“多格合一”治理模式建设。</w:t>
      </w:r>
    </w:p>
    <w:p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关于上海如何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增进民生福祉，着力推进普惠性、基础性、兜底性民生建设的研究和对策建议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1、着力稳定和扩大就业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2、健全社会保障体系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3、提高养老托育服务品质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完善医疗卫生体系建设；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提升市民居住品质；</w:t>
      </w:r>
    </w:p>
    <w:p>
      <w:pPr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6、生育友好型社会建设。</w:t>
      </w:r>
    </w:p>
    <w:p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八、致公党侨海特色和数字化转型的研究和对策建议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1、海外侨情的研究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2、海外人才对上海经济社会发展的推进作用的研究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做好对外联络与海外人士来华服务的研究；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海洋事业的高质量发展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数字化转型及应用；</w:t>
      </w:r>
    </w:p>
    <w:p>
      <w:pPr>
        <w:spacing w:line="6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公共数据资源开发利用、数据要素市场化配置等机制；</w:t>
      </w:r>
    </w:p>
    <w:p>
      <w:pPr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7、其他。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EC3EA"/>
    <w:rsid w:val="DBBEC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2025-02-07T15:49:00Z</dcterms:created>
  <dc:creator>lenovo</dc:creator>
  <cp:lastModifiedBy>lenovo</cp:lastModifiedBy>
  <dcterms:modified xsi:type="dcterms:W3CDTF">2025-02-07T15:50:29Z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